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pPr w:bottomFromText="0" w:horzAnchor="margin" w:leftFromText="141" w:rightFromText="141" w:tblpX="108" w:tblpY="18" w:topFromText="0" w:vertAnchor="text"/>
        <w:tblW w:w="9521"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93" w:type="dxa"/>
          <w:bottom w:w="0" w:type="dxa"/>
          <w:right w:w="108" w:type="dxa"/>
        </w:tblCellMar>
        <w:tblLook w:noVBand="0" w:val="01e0" w:noHBand="0" w:lastColumn="1" w:firstColumn="1" w:lastRow="1" w:firstRow="1"/>
      </w:tblPr>
      <w:tblGrid>
        <w:gridCol w:w="1996"/>
        <w:gridCol w:w="7524"/>
      </w:tblGrid>
      <w:tr>
        <w:trPr>
          <w:trHeight w:val="1470" w:hRule="atLeast"/>
        </w:trPr>
        <w:tc>
          <w:tcPr>
            <w:tcW w:w="952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114" w:after="114"/>
              <w:rPr/>
            </w:pPr>
            <w:r>
              <w:rPr>
                <w:rFonts w:cs="Arial" w:ascii="Arial" w:hAnsi="Arial"/>
                <w:b/>
                <w:sz w:val="56"/>
                <w:szCs w:val="56"/>
              </w:rPr>
              <w:t>Photogramme / Cyanotypie</w:t>
            </w:r>
            <w:r>
              <w:rPr>
                <w:rFonts w:cs="Arial" w:ascii="Arial" w:hAnsi="Arial"/>
                <w:b/>
                <w:sz w:val="56"/>
                <w:szCs w:val="56"/>
              </w:rPr>
              <w:t>n</w:t>
            </w:r>
            <w:r>
              <w:rPr>
                <w:rFonts w:cs="Arial" w:ascii="Arial" w:hAnsi="Arial"/>
                <w:b/>
                <w:sz w:val="96"/>
                <w:szCs w:val="96"/>
              </w:rPr>
              <w:br/>
            </w:r>
            <w:r>
              <w:rPr>
                <w:rFonts w:cs="Arial" w:ascii="Arial" w:hAnsi="Arial"/>
                <w:b/>
                <w:sz w:val="36"/>
                <w:szCs w:val="36"/>
              </w:rPr>
              <w:t>nach Lazlo Moholy-Nagy und Herbert Bayer</w:t>
            </w:r>
          </w:p>
        </w:tc>
      </w:tr>
      <w:tr>
        <w:trPr>
          <w:trHeight w:val="1598" w:hRule="atLeast"/>
        </w:trPr>
        <w:tc>
          <w:tcPr>
            <w:tcW w:w="19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114" w:after="114"/>
              <w:rPr/>
            </w:pPr>
            <w:r>
              <w:rPr>
                <w:rFonts w:cs="Arial" w:ascii="Arial" w:hAnsi="Arial"/>
                <w:sz w:val="22"/>
              </w:rPr>
              <w:t>Materialien</w:t>
            </w:r>
          </w:p>
        </w:tc>
        <w:tc>
          <w:tcPr>
            <w:tcW w:w="75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widowControl/>
              <w:numPr>
                <w:ilvl w:val="0"/>
                <w:numId w:val="2"/>
              </w:numPr>
              <w:bidi w:val="0"/>
              <w:spacing w:lineRule="auto" w:line="276" w:before="57" w:after="86"/>
              <w:ind w:left="340" w:right="0" w:hanging="363"/>
              <w:contextualSpacing/>
              <w:jc w:val="left"/>
              <w:rPr/>
            </w:pPr>
            <w:r>
              <w:rPr>
                <w:rFonts w:cs="Arial" w:ascii="Arial" w:hAnsi="Arial"/>
                <w:sz w:val="22"/>
              </w:rPr>
              <w:t xml:space="preserve">Aquarellpapier </w:t>
            </w:r>
            <w:r>
              <w:rPr>
                <w:rFonts w:cs="Arial" w:ascii="Arial" w:hAnsi="Arial"/>
                <w:sz w:val="22"/>
                <w:u w:val="single"/>
              </w:rPr>
              <w:t>oder</w:t>
            </w:r>
            <w:r>
              <w:rPr>
                <w:rFonts w:cs="Arial" w:ascii="Arial" w:hAnsi="Arial"/>
                <w:sz w:val="22"/>
              </w:rPr>
              <w:t xml:space="preserve"> weißer, saugfähiger Stoff (z.B. Nessel von IKEA: 140 cm * 100 cm für 2 €, Stücke im Format A5 und A4) </w:t>
            </w:r>
            <w:r>
              <w:rPr>
                <w:rFonts w:cs="Arial" w:ascii="Arial" w:hAnsi="Arial"/>
                <w:sz w:val="22"/>
                <w:u w:val="single"/>
              </w:rPr>
              <w:t>oder</w:t>
            </w:r>
            <w:r>
              <w:rPr>
                <w:rFonts w:cs="Arial" w:ascii="Arial" w:hAnsi="Arial"/>
                <w:sz w:val="22"/>
              </w:rPr>
              <w:t xml:space="preserve"> Photopapier für Tintenstrahldrucker </w:t>
            </w:r>
            <w:r>
              <w:rPr>
                <w:rFonts w:cs="Arial" w:ascii="Arial" w:hAnsi="Arial"/>
                <w:sz w:val="22"/>
                <w:u w:val="single"/>
              </w:rPr>
              <w:t>oder</w:t>
            </w:r>
            <w:r>
              <w:rPr>
                <w:rFonts w:cs="Arial" w:ascii="Arial" w:hAnsi="Arial"/>
                <w:sz w:val="22"/>
              </w:rPr>
              <w:t xml:space="preserve"> Pappelsperrholz </w:t>
            </w:r>
            <w:r>
              <w:rPr>
                <w:rFonts w:cs="Arial" w:ascii="Arial" w:hAnsi="Arial"/>
                <w:sz w:val="22"/>
                <w:u w:val="single"/>
              </w:rPr>
              <w:t>oder</w:t>
            </w:r>
            <w:r>
              <w:rPr>
                <w:rFonts w:cs="Arial" w:ascii="Arial" w:hAnsi="Arial"/>
                <w:sz w:val="22"/>
              </w:rPr>
              <w:t xml:space="preserve"> ...</w:t>
            </w:r>
          </w:p>
          <w:p>
            <w:pPr>
              <w:pStyle w:val="ListParagraph"/>
              <w:widowControl/>
              <w:numPr>
                <w:ilvl w:val="0"/>
                <w:numId w:val="2"/>
              </w:numPr>
              <w:bidi w:val="0"/>
              <w:spacing w:lineRule="auto" w:line="276" w:before="0" w:after="0"/>
              <w:ind w:left="340" w:right="0" w:hanging="363"/>
              <w:contextualSpacing/>
              <w:jc w:val="left"/>
              <w:rPr/>
            </w:pPr>
            <w:r>
              <w:rPr>
                <w:rFonts w:cs="Arial" w:ascii="Arial" w:hAnsi="Arial"/>
                <w:sz w:val="22"/>
              </w:rPr>
              <w:t>Zutaten für lichtempfindliche Beschichtung (Cyanotypie):</w:t>
              <w:br/>
              <w:t>50 gr grünes Ammoniumferrizitrat (keine Gefahrenkennzeichnung) in 500 ml dest. Wasser lösen</w:t>
              <w:br/>
              <w:t>20 gr Kaliumferrizyanid = rotes Blutlaugensalz (keine Gefahrenkennzeichnung) in 500 ml dest. Wasser lösen</w:t>
            </w:r>
          </w:p>
          <w:p>
            <w:pPr>
              <w:pStyle w:val="ListParagraph"/>
              <w:widowControl/>
              <w:numPr>
                <w:ilvl w:val="0"/>
                <w:numId w:val="2"/>
              </w:numPr>
              <w:bidi w:val="0"/>
              <w:spacing w:lineRule="auto" w:line="276" w:before="0" w:after="0"/>
              <w:ind w:left="340" w:right="0" w:hanging="363"/>
              <w:contextualSpacing/>
              <w:jc w:val="left"/>
              <w:rPr/>
            </w:pPr>
            <w:r>
              <w:rPr>
                <w:rFonts w:cs="Arial" w:ascii="Arial" w:hAnsi="Arial"/>
                <w:sz w:val="22"/>
              </w:rPr>
              <w:t>Sprühflasche oder weicher Pinsel zum Beschichten</w:t>
            </w:r>
          </w:p>
          <w:p>
            <w:pPr>
              <w:pStyle w:val="ListParagraph"/>
              <w:widowControl/>
              <w:numPr>
                <w:ilvl w:val="0"/>
                <w:numId w:val="2"/>
              </w:numPr>
              <w:bidi w:val="0"/>
              <w:spacing w:lineRule="auto" w:line="276" w:before="0" w:after="0"/>
              <w:ind w:left="340" w:right="0" w:hanging="363"/>
              <w:contextualSpacing/>
              <w:jc w:val="left"/>
              <w:rPr/>
            </w:pPr>
            <w:r>
              <w:rPr>
                <w:rFonts w:eastAsia="Times New Roman" w:cs="Arial" w:ascii="Arial" w:hAnsi="Arial"/>
                <w:sz w:val="22"/>
                <w:lang w:eastAsia="de-DE"/>
              </w:rPr>
              <w:t>mehrere Tageslichtprojektoren oder Sonnenlicht</w:t>
            </w:r>
          </w:p>
          <w:p>
            <w:pPr>
              <w:pStyle w:val="ListParagraph"/>
              <w:widowControl/>
              <w:numPr>
                <w:ilvl w:val="0"/>
                <w:numId w:val="2"/>
              </w:numPr>
              <w:bidi w:val="0"/>
              <w:spacing w:lineRule="auto" w:line="276" w:before="0" w:after="200"/>
              <w:ind w:left="340" w:right="0" w:hanging="363"/>
              <w:contextualSpacing/>
              <w:jc w:val="left"/>
              <w:rPr/>
            </w:pPr>
            <w:r>
              <w:rPr>
                <w:rFonts w:cs="Arial" w:ascii="Arial" w:hAnsi="Arial"/>
                <w:sz w:val="22"/>
              </w:rPr>
              <w:t>Möglichst flache Gegenstände und Materialien (dicht oder durchsichtig)</w:t>
              <w:br/>
              <w:t xml:space="preserve">- geschnittene Papiere, Zweige, geschnittene Folien, Salz ... </w:t>
              <w:br/>
              <w:t>- Gabeln, Löffel, Scheren, Stifte, Geodreieck, Spitzer...</w:t>
              <w:br/>
              <w:t>- Folien, Kunststoffverpackungen, CD‘s, Flaschendeckel, optische Linsen…</w:t>
            </w:r>
          </w:p>
          <w:p>
            <w:pPr>
              <w:pStyle w:val="ListParagraph"/>
              <w:widowControl/>
              <w:numPr>
                <w:ilvl w:val="0"/>
                <w:numId w:val="2"/>
              </w:numPr>
              <w:bidi w:val="0"/>
              <w:spacing w:lineRule="auto" w:line="276" w:before="0" w:after="200"/>
              <w:ind w:left="340" w:right="0" w:hanging="363"/>
              <w:contextualSpacing/>
              <w:jc w:val="left"/>
              <w:rPr/>
            </w:pPr>
            <w:r>
              <w:rPr>
                <w:rFonts w:cs="Arial" w:ascii="Arial" w:hAnsi="Arial"/>
                <w:sz w:val="22"/>
              </w:rPr>
              <w:t>Tageslichtfolien zum Auflegen der Gegenstände, falls möglich stabileres, durchsichtiges Acrylglas</w:t>
            </w:r>
          </w:p>
          <w:p>
            <w:pPr>
              <w:pStyle w:val="ListParagraph"/>
              <w:widowControl/>
              <w:numPr>
                <w:ilvl w:val="0"/>
                <w:numId w:val="2"/>
              </w:numPr>
              <w:bidi w:val="0"/>
              <w:spacing w:lineRule="auto" w:line="276" w:before="0" w:after="143"/>
              <w:ind w:left="340" w:right="0" w:hanging="363"/>
              <w:contextualSpacing/>
              <w:jc w:val="left"/>
              <w:rPr/>
            </w:pPr>
            <w:r>
              <w:rPr>
                <w:rFonts w:cs="Arial" w:ascii="Arial" w:hAnsi="Arial"/>
                <w:sz w:val="22"/>
              </w:rPr>
              <w:t>Zum Entwickeln: 2 (oder mehr) Wassereimer</w:t>
              <w:br/>
              <w:t>1 Eimer mit Leitungswasser</w:t>
              <w:br/>
              <w:t>1 Eimer mit Leitungswasser und einer Flaschenkappe 3%-iger Wasserstoffperoxidlösung zum Verstärken der Blaufärbung)</w:t>
            </w:r>
          </w:p>
        </w:tc>
      </w:tr>
      <w:tr>
        <w:trPr>
          <w:trHeight w:val="1024" w:hRule="atLeast"/>
        </w:trPr>
        <w:tc>
          <w:tcPr>
            <w:tcW w:w="19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114" w:after="114"/>
              <w:rPr/>
            </w:pPr>
            <w:r>
              <w:rPr>
                <w:rFonts w:cs="Arial" w:ascii="Arial" w:hAnsi="Arial"/>
                <w:sz w:val="22"/>
              </w:rPr>
              <w:t>Themenstellung</w:t>
            </w:r>
          </w:p>
          <w:p>
            <w:pPr>
              <w:pStyle w:val="Normal"/>
              <w:spacing w:lineRule="auto" w:line="360"/>
              <w:rPr>
                <w:rFonts w:ascii="Arial" w:hAnsi="Arial" w:cs="Arial"/>
                <w:sz w:val="22"/>
              </w:rPr>
            </w:pPr>
            <w:r>
              <w:rPr>
                <w:rFonts w:cs="Arial" w:ascii="Arial" w:hAnsi="Arial"/>
                <w:sz w:val="22"/>
              </w:rPr>
            </w:r>
          </w:p>
        </w:tc>
        <w:tc>
          <w:tcPr>
            <w:tcW w:w="75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spacing w:before="114" w:after="114"/>
              <w:ind w:left="0" w:hanging="0"/>
              <w:contextualSpacing/>
              <w:rPr/>
            </w:pPr>
            <w:r>
              <w:rPr>
                <w:rFonts w:cs="Arial" w:ascii="Arial" w:hAnsi="Arial"/>
                <w:sz w:val="22"/>
              </w:rPr>
              <w:t>Gegenstände sollen zu einem ‚Schattenbild‘ gruppiert werden. Die Gruppierung soll nicht zufällig, sondern geplant erfolgen. Konstruktionsmerkmale wie ‚Goldener Schnitt‘, Symmetrie oder ‚Umdeutung und Auflösung der Einzelgegenstände zu einer neuen Aussage‘ sollen beachtet werden. Beschichtung und Belichtung mit ungiftigem, selbst herstellgestelltem Cyanotypiepapier / Cyanotypiestoff / Solarpapier.</w:t>
            </w:r>
          </w:p>
        </w:tc>
      </w:tr>
      <w:tr>
        <w:trPr>
          <w:trHeight w:val="2989" w:hRule="atLeast"/>
        </w:trPr>
        <w:tc>
          <w:tcPr>
            <w:tcW w:w="19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57" w:after="57"/>
              <w:rPr/>
            </w:pPr>
            <w:r>
              <w:rPr/>
              <w:t>Vorbereitung</w:t>
            </w:r>
          </w:p>
        </w:tc>
        <w:tc>
          <w:tcPr>
            <w:tcW w:w="75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numPr>
                <w:ilvl w:val="0"/>
                <w:numId w:val="2"/>
              </w:numPr>
              <w:bidi w:val="0"/>
              <w:spacing w:lineRule="auto" w:line="276" w:before="0" w:after="0"/>
              <w:ind w:left="340" w:right="0" w:hanging="363"/>
              <w:jc w:val="left"/>
              <w:rPr/>
            </w:pPr>
            <w:r>
              <w:rPr>
                <w:rFonts w:eastAsia="Times New Roman" w:cs="Arial" w:ascii="Arial" w:hAnsi="Arial"/>
                <w:sz w:val="22"/>
                <w:lang w:eastAsia="de-DE"/>
              </w:rPr>
              <w:t xml:space="preserve">Weil die Papiere/ Stoffe zur Belichtung mindestens halbtrocken sein sollten, damit sie nicht abfärben, empfiehlt sich die Beschichtung durch die Lehrkraft am Vortag oder früher. </w:t>
            </w:r>
          </w:p>
          <w:p>
            <w:pPr>
              <w:pStyle w:val="Normal"/>
              <w:widowControl/>
              <w:numPr>
                <w:ilvl w:val="0"/>
                <w:numId w:val="2"/>
              </w:numPr>
              <w:bidi w:val="0"/>
              <w:spacing w:lineRule="auto" w:line="276" w:before="0" w:after="0"/>
              <w:ind w:left="340" w:right="0" w:hanging="363"/>
              <w:jc w:val="left"/>
              <w:rPr/>
            </w:pPr>
            <w:r>
              <w:rPr>
                <w:rFonts w:eastAsia="Times New Roman" w:cs="Arial" w:ascii="Arial" w:hAnsi="Arial"/>
                <w:sz w:val="22"/>
                <w:lang w:eastAsia="de-DE"/>
              </w:rPr>
              <w:t>Wassereimer zum Auswaschen bereit stellen</w:t>
            </w:r>
          </w:p>
          <w:p>
            <w:pPr>
              <w:pStyle w:val="Normal"/>
              <w:widowControl/>
              <w:numPr>
                <w:ilvl w:val="0"/>
                <w:numId w:val="2"/>
              </w:numPr>
              <w:bidi w:val="0"/>
              <w:spacing w:lineRule="auto" w:line="276" w:before="0" w:after="0"/>
              <w:ind w:left="340" w:right="0" w:hanging="363"/>
              <w:jc w:val="left"/>
              <w:rPr/>
            </w:pPr>
            <w:r>
              <w:rPr>
                <w:rFonts w:eastAsia="Times New Roman" w:cs="Arial" w:ascii="Arial" w:hAnsi="Arial"/>
                <w:sz w:val="22"/>
                <w:lang w:eastAsia="de-DE"/>
              </w:rPr>
              <w:t xml:space="preserve">Tageslichtprojektoren vorbereiten </w:t>
            </w:r>
          </w:p>
          <w:p>
            <w:pPr>
              <w:pStyle w:val="Normal"/>
              <w:widowControl/>
              <w:numPr>
                <w:ilvl w:val="0"/>
                <w:numId w:val="2"/>
              </w:numPr>
              <w:bidi w:val="0"/>
              <w:spacing w:lineRule="auto" w:line="276" w:before="0" w:after="0"/>
              <w:ind w:left="340" w:right="0" w:hanging="363"/>
              <w:jc w:val="left"/>
              <w:rPr/>
            </w:pPr>
            <w:r>
              <w:rPr>
                <w:rFonts w:eastAsia="Times New Roman" w:cs="Arial" w:ascii="Arial" w:hAnsi="Arial"/>
                <w:sz w:val="22"/>
                <w:lang w:eastAsia="de-DE"/>
              </w:rPr>
              <w:t>Pro Belichtung sind 10 bis 15 Minuten einzuplanen</w:t>
              <w:br/>
              <w:t>- für 20 Schüler sind damit 6-7 Tageslichtprojektoren nötig</w:t>
            </w:r>
          </w:p>
          <w:p>
            <w:pPr>
              <w:pStyle w:val="Normal"/>
              <w:widowControl/>
              <w:numPr>
                <w:ilvl w:val="0"/>
                <w:numId w:val="2"/>
              </w:numPr>
              <w:bidi w:val="0"/>
              <w:spacing w:lineRule="auto" w:line="276" w:before="0" w:after="0"/>
              <w:ind w:left="340" w:right="0" w:hanging="363"/>
              <w:jc w:val="left"/>
              <w:rPr/>
            </w:pPr>
            <w:r>
              <w:rPr>
                <w:rFonts w:eastAsia="Times New Roman" w:cs="Arial" w:ascii="Arial" w:hAnsi="Arial"/>
                <w:sz w:val="22"/>
                <w:lang w:eastAsia="de-DE"/>
              </w:rPr>
              <w:t>Die Belichtung kann auch (idealerweise) bei Sonnenlicht im Schulhof erfolgen (Belichtungszeit dann 8-12 Minuten, je nach Sonnenstand und Sonneneinstrahlung – der UV-Anteil ist entscheidend)</w:t>
            </w:r>
          </w:p>
        </w:tc>
      </w:tr>
      <w:tr>
        <w:trPr>
          <w:trHeight w:val="1080" w:hRule="atLeast"/>
        </w:trPr>
        <w:tc>
          <w:tcPr>
            <w:tcW w:w="19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57" w:after="57"/>
              <w:rPr/>
            </w:pPr>
            <w:r>
              <w:rPr/>
              <w:t>Linktipps</w:t>
            </w:r>
          </w:p>
        </w:tc>
        <w:tc>
          <w:tcPr>
            <w:tcW w:w="75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Fuzeile"/>
              <w:widowControl/>
              <w:numPr>
                <w:ilvl w:val="0"/>
                <w:numId w:val="2"/>
              </w:numPr>
              <w:tabs>
                <w:tab w:val="center" w:pos="4536" w:leader="none"/>
                <w:tab w:val="right" w:pos="9072" w:leader="none"/>
              </w:tabs>
              <w:bidi w:val="0"/>
              <w:spacing w:lineRule="auto" w:line="276" w:before="57" w:after="57"/>
              <w:ind w:left="340" w:right="0" w:hanging="363"/>
              <w:jc w:val="left"/>
              <w:rPr/>
            </w:pPr>
            <w:hyperlink r:id="rId2">
              <w:r>
                <w:rPr>
                  <w:rStyle w:val="Internetverknpfung"/>
                  <w:rFonts w:eastAsia="Times New Roman" w:cs="Arial" w:ascii="Arial" w:hAnsi="Arial"/>
                  <w:sz w:val="22"/>
                  <w:lang w:eastAsia="de-DE"/>
                </w:rPr>
                <w:t>https://wp.radiertechniken.de/cyanotypie</w:t>
              </w:r>
            </w:hyperlink>
          </w:p>
          <w:p>
            <w:pPr>
              <w:pStyle w:val="Fuzeile"/>
              <w:widowControl/>
              <w:numPr>
                <w:ilvl w:val="0"/>
                <w:numId w:val="2"/>
              </w:numPr>
              <w:tabs>
                <w:tab w:val="center" w:pos="4536" w:leader="none"/>
                <w:tab w:val="right" w:pos="9072" w:leader="none"/>
              </w:tabs>
              <w:bidi w:val="0"/>
              <w:spacing w:lineRule="auto" w:line="276" w:before="57" w:after="57"/>
              <w:ind w:left="340" w:right="0" w:hanging="363"/>
              <w:jc w:val="left"/>
              <w:rPr/>
            </w:pPr>
            <w:hyperlink r:id="rId3">
              <w:r>
                <w:rPr>
                  <w:rStyle w:val="Internetverknpfung"/>
                  <w:rFonts w:eastAsia="Times New Roman" w:cs="Arial" w:ascii="Arial" w:hAnsi="Arial"/>
                  <w:sz w:val="22"/>
                  <w:lang w:eastAsia="de-DE"/>
                </w:rPr>
                <w:t>https://www.alternativephotography.com/a-good-starting-point-for-cyanotypes-learn-the-process/</w:t>
              </w:r>
            </w:hyperlink>
          </w:p>
        </w:tc>
      </w:tr>
      <w:tr>
        <w:trPr>
          <w:trHeight w:val="3988" w:hRule="atLeast"/>
        </w:trPr>
        <w:tc>
          <w:tcPr>
            <w:tcW w:w="19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57" w:after="57"/>
              <w:rPr/>
            </w:pPr>
            <w:r>
              <w:rPr>
                <w:rFonts w:cs="Arial" w:ascii="Arial" w:hAnsi="Arial"/>
                <w:sz w:val="22"/>
              </w:rPr>
              <w:t>Verlauf</w:t>
            </w:r>
          </w:p>
          <w:p>
            <w:pPr>
              <w:pStyle w:val="Normal"/>
              <w:spacing w:lineRule="auto" w:line="360"/>
              <w:rPr>
                <w:rFonts w:ascii="Arial" w:hAnsi="Arial" w:cs="Arial"/>
                <w:sz w:val="22"/>
              </w:rPr>
            </w:pPr>
            <w:r>
              <w:rPr>
                <w:rFonts w:cs="Arial" w:ascii="Arial" w:hAnsi="Arial"/>
                <w:sz w:val="22"/>
              </w:rPr>
            </w:r>
          </w:p>
        </w:tc>
        <w:tc>
          <w:tcPr>
            <w:tcW w:w="75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widowControl/>
              <w:bidi w:val="0"/>
              <w:spacing w:lineRule="auto" w:line="276" w:before="57" w:after="57"/>
              <w:ind w:left="0" w:right="0" w:hanging="0"/>
              <w:contextualSpacing/>
              <w:jc w:val="left"/>
              <w:rPr/>
            </w:pPr>
            <w:r>
              <w:rPr>
                <w:rFonts w:cs="Arial" w:ascii="Arial" w:hAnsi="Arial"/>
                <w:sz w:val="22"/>
              </w:rPr>
              <w:t xml:space="preserve">1. Einleitung: Beispiele der Kunstgeschichte: </w:t>
              <w:br/>
              <w:t>Photogramme von Moholy Nagy, Herbert Bayer, Man Ray… evtl. kurzer Abriss der Fotogeschichte</w:t>
            </w:r>
          </w:p>
          <w:p>
            <w:pPr>
              <w:pStyle w:val="ListParagraph"/>
              <w:widowControl/>
              <w:bidi w:val="0"/>
              <w:spacing w:lineRule="auto" w:line="276" w:before="0" w:after="0"/>
              <w:ind w:left="0" w:right="0" w:hanging="0"/>
              <w:contextualSpacing/>
              <w:jc w:val="left"/>
              <w:rPr/>
            </w:pPr>
            <w:r>
              <w:rPr>
                <w:rFonts w:cs="Arial" w:ascii="Arial" w:hAnsi="Arial"/>
                <w:sz w:val="22"/>
              </w:rPr>
              <w:t>2. Welche Gegenstände können auf einem A4-Blatt für ein Schattenbild arrangiert werden?</w:t>
            </w:r>
          </w:p>
          <w:p>
            <w:pPr>
              <w:pStyle w:val="ListParagraph"/>
              <w:widowControl/>
              <w:bidi w:val="0"/>
              <w:spacing w:lineRule="auto" w:line="276" w:before="0" w:after="0"/>
              <w:ind w:left="0" w:right="0" w:hanging="0"/>
              <w:contextualSpacing/>
              <w:jc w:val="left"/>
              <w:rPr/>
            </w:pPr>
            <w:r>
              <w:rPr>
                <w:rFonts w:cs="Arial" w:ascii="Arial" w:hAnsi="Arial"/>
                <w:sz w:val="22"/>
              </w:rPr>
              <w:t>3. Schüler ordnen Gegenstände auf Tageslichtfolie (besser Acrylglas) oder direkt auf dem Tageslichtprojektor</w:t>
            </w:r>
          </w:p>
          <w:p>
            <w:pPr>
              <w:pStyle w:val="ListParagraph"/>
              <w:widowControl/>
              <w:bidi w:val="0"/>
              <w:spacing w:lineRule="auto" w:line="276" w:before="0" w:after="0"/>
              <w:ind w:left="0" w:right="0" w:hanging="0"/>
              <w:contextualSpacing/>
              <w:jc w:val="left"/>
              <w:rPr/>
            </w:pPr>
            <w:r>
              <w:rPr>
                <w:rFonts w:cs="Arial" w:ascii="Arial" w:hAnsi="Arial"/>
                <w:sz w:val="22"/>
              </w:rPr>
              <w:t xml:space="preserve">4. Belichtung (ca. 10-15 Minuten) im halbdunklen Raum auf OH-Projektor (Photopapier auflegen) oder im Schulhof bei Sonnenlicht (ca. 8-12 Minuten, Photopapier unterlegen), evtl. Regenschirme zum Abdunkeln/Abschotten der Sonnenstrahlung, damit „nacharrangiert“ werden kann. </w:t>
            </w:r>
          </w:p>
          <w:p>
            <w:pPr>
              <w:pStyle w:val="ListParagraph"/>
              <w:widowControl/>
              <w:bidi w:val="0"/>
              <w:spacing w:lineRule="auto" w:line="276" w:before="0" w:after="0"/>
              <w:ind w:left="0" w:right="0" w:hanging="0"/>
              <w:contextualSpacing/>
              <w:jc w:val="left"/>
              <w:rPr/>
            </w:pPr>
            <w:r>
              <w:rPr>
                <w:rFonts w:cs="Arial" w:ascii="Arial" w:hAnsi="Arial"/>
                <w:sz w:val="22"/>
              </w:rPr>
              <w:t>5. Auswaschen der unbelichteten Partien im Wasserbad (Halbdunkel)</w:t>
            </w:r>
          </w:p>
          <w:p>
            <w:pPr>
              <w:pStyle w:val="ListParagraph"/>
              <w:widowControl/>
              <w:bidi w:val="0"/>
              <w:spacing w:lineRule="auto" w:line="276" w:before="0" w:after="0"/>
              <w:ind w:left="0" w:right="0" w:hanging="0"/>
              <w:contextualSpacing/>
              <w:jc w:val="left"/>
              <w:rPr/>
            </w:pPr>
            <w:r>
              <w:rPr>
                <w:rFonts w:cs="Arial" w:ascii="Arial" w:hAnsi="Arial"/>
                <w:sz w:val="22"/>
              </w:rPr>
              <w:t>6. „Forcieren“ der Oxidation durch Auswaschen im Wasserbad, das einige Spritzer Wasserstoffperoxid enthält.</w:t>
            </w:r>
          </w:p>
          <w:p>
            <w:pPr>
              <w:pStyle w:val="ListParagraph"/>
              <w:widowControl/>
              <w:bidi w:val="0"/>
              <w:spacing w:lineRule="auto" w:line="276" w:before="0" w:after="0"/>
              <w:ind w:left="0" w:right="0" w:hanging="0"/>
              <w:contextualSpacing/>
              <w:jc w:val="left"/>
              <w:rPr/>
            </w:pPr>
            <w:r>
              <w:rPr>
                <w:rFonts w:cs="Arial" w:ascii="Arial" w:hAnsi="Arial"/>
                <w:sz w:val="22"/>
              </w:rPr>
              <w:t>7. Präsentation und Besprechung</w:t>
            </w:r>
          </w:p>
          <w:p>
            <w:pPr>
              <w:pStyle w:val="ListParagraph"/>
              <w:widowControl/>
              <w:bidi w:val="0"/>
              <w:spacing w:lineRule="auto" w:line="276" w:before="57" w:after="57"/>
              <w:ind w:left="0" w:right="0" w:hanging="0"/>
              <w:contextualSpacing/>
              <w:jc w:val="left"/>
              <w:rPr/>
            </w:pPr>
            <w:r>
              <w:rPr>
                <w:rFonts w:cs="Arial" w:ascii="Arial" w:hAnsi="Arial"/>
                <w:sz w:val="22"/>
              </w:rPr>
              <w:t>8. Trocknen</w:t>
            </w:r>
          </w:p>
        </w:tc>
      </w:tr>
      <w:tr>
        <w:trPr>
          <w:trHeight w:val="3659" w:hRule="atLeast"/>
        </w:trPr>
        <w:tc>
          <w:tcPr>
            <w:tcW w:w="19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57" w:after="57"/>
              <w:rPr/>
            </w:pPr>
            <w:r>
              <w:rPr>
                <w:rFonts w:cs="Arial" w:ascii="Arial" w:hAnsi="Arial"/>
                <w:sz w:val="22"/>
              </w:rPr>
              <w:t>Beachtenswertes während des Unterrichts</w:t>
            </w:r>
          </w:p>
          <w:p>
            <w:pPr>
              <w:pStyle w:val="Normal"/>
              <w:spacing w:lineRule="auto" w:line="360" w:before="114" w:after="114"/>
              <w:rPr>
                <w:rFonts w:ascii="Arial" w:hAnsi="Arial" w:cs="Arial"/>
                <w:sz w:val="22"/>
              </w:rPr>
            </w:pPr>
            <w:r>
              <w:rPr>
                <w:rFonts w:cs="Arial" w:ascii="Arial" w:hAnsi="Arial"/>
                <w:sz w:val="22"/>
              </w:rPr>
            </w:r>
          </w:p>
        </w:tc>
        <w:tc>
          <w:tcPr>
            <w:tcW w:w="75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57" w:after="57"/>
              <w:ind w:left="0" w:right="0" w:hanging="0"/>
              <w:jc w:val="left"/>
              <w:rPr/>
            </w:pPr>
            <w:r>
              <w:rPr>
                <w:rFonts w:eastAsia="Times New Roman" w:cs="Arial" w:ascii="Arial" w:hAnsi="Arial"/>
                <w:sz w:val="22"/>
                <w:lang w:eastAsia="de-DE"/>
              </w:rPr>
              <w:t>Obwohl die Chemikalien ungiftig sind, gelten allgemeine Vorsichtsmaßnahmen beim Umgang mit Chemikalien:</w:t>
              <w:br/>
              <w:t>-  Vinylhandschuhe verwenden</w:t>
              <w:br/>
              <w:t>- nicht in den Augen reiben</w:t>
              <w:br/>
              <w:t>- während der Arbeit nicht essen oder trinken</w:t>
            </w:r>
          </w:p>
          <w:p>
            <w:pPr>
              <w:pStyle w:val="Normal"/>
              <w:widowControl/>
              <w:bidi w:val="0"/>
              <w:spacing w:lineRule="auto" w:line="276" w:before="57" w:after="57"/>
              <w:ind w:left="0" w:right="0" w:hanging="0"/>
              <w:jc w:val="left"/>
              <w:rPr/>
            </w:pPr>
            <w:r>
              <w:rPr>
                <w:rFonts w:eastAsia="Times New Roman" w:cs="Arial" w:ascii="Arial" w:hAnsi="Arial"/>
                <w:sz w:val="22"/>
                <w:lang w:eastAsia="de-DE"/>
              </w:rPr>
              <w:t xml:space="preserve">Die gemischte Cyanotypie-Lösung wird nach Trocknung und Belichtung wasserfest und dunkelblau. Es entsteht der Farbstoff „Berliner Blau“, mit dem preußische Uniformen gefärbt wurden und der Bestandteil von Tinte war (vor Erfindung neuer Farbstoffe). Es können Flecken in empfindlicher Kleidung entstehen, falls Spritzer der Lösung darauf treffen. Phosphathaltige Waschmittel oder „Tintenkiller“ zerstören den blauen Farbstoff. Es ist keine völlige Dunkelheit notwendig. </w:t>
            </w:r>
          </w:p>
        </w:tc>
      </w:tr>
      <w:tr>
        <w:trPr>
          <w:trHeight w:val="1024" w:hRule="atLeast"/>
        </w:trPr>
        <w:tc>
          <w:tcPr>
            <w:tcW w:w="19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57" w:after="57"/>
              <w:rPr/>
            </w:pPr>
            <w:r>
              <w:rPr>
                <w:rFonts w:cs="Arial" w:ascii="Arial" w:hAnsi="Arial"/>
                <w:sz w:val="22"/>
              </w:rPr>
              <w:t>Vorbilder</w:t>
            </w:r>
          </w:p>
          <w:p>
            <w:pPr>
              <w:pStyle w:val="Normal"/>
              <w:spacing w:lineRule="auto" w:line="360" w:before="114" w:after="114"/>
              <w:rPr>
                <w:rFonts w:ascii="Arial" w:hAnsi="Arial" w:cs="Arial"/>
                <w:sz w:val="22"/>
              </w:rPr>
            </w:pPr>
            <w:r>
              <w:rPr>
                <w:rFonts w:cs="Arial" w:ascii="Arial" w:hAnsi="Arial"/>
                <w:sz w:val="22"/>
              </w:rPr>
            </w:r>
          </w:p>
        </w:tc>
        <w:tc>
          <w:tcPr>
            <w:tcW w:w="75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numPr>
                <w:ilvl w:val="0"/>
                <w:numId w:val="0"/>
              </w:numPr>
              <w:bidi w:val="0"/>
              <w:spacing w:lineRule="auto" w:line="276" w:before="57" w:after="57"/>
              <w:ind w:left="0" w:right="0" w:hanging="0"/>
              <w:jc w:val="left"/>
              <w:rPr/>
            </w:pPr>
            <w:r>
              <w:rPr>
                <w:rFonts w:eastAsia="Times New Roman" w:cs="Arial" w:ascii="Arial" w:hAnsi="Arial"/>
                <w:sz w:val="22"/>
                <w:lang w:eastAsia="de-DE"/>
              </w:rPr>
              <w:t xml:space="preserve">Beispiele für künstlerische </w:t>
            </w:r>
            <w:hyperlink r:id="rId4">
              <w:r>
                <w:rPr>
                  <w:rStyle w:val="Internetverknpfung"/>
                  <w:rFonts w:eastAsia="Times New Roman" w:cs="Arial" w:ascii="Arial" w:hAnsi="Arial"/>
                  <w:sz w:val="22"/>
                  <w:lang w:eastAsia="de-DE"/>
                </w:rPr>
                <w:t>Fotogramme</w:t>
              </w:r>
            </w:hyperlink>
            <w:r>
              <w:rPr>
                <w:rFonts w:eastAsia="Times New Roman" w:cs="Arial" w:ascii="Arial" w:hAnsi="Arial"/>
                <w:sz w:val="22"/>
                <w:lang w:eastAsia="de-DE"/>
              </w:rPr>
              <w:t xml:space="preserve"> finden sich ab den 20er Jahren bei </w:t>
            </w:r>
            <w:hyperlink r:id="rId5">
              <w:r>
                <w:rPr>
                  <w:rStyle w:val="BesuchteInternetverknpfung"/>
                  <w:rFonts w:eastAsia="Times New Roman" w:cs="Arial" w:ascii="Arial" w:hAnsi="Arial"/>
                  <w:sz w:val="22"/>
                  <w:lang w:eastAsia="de-DE"/>
                </w:rPr>
                <w:t>Lazlo Moholy-Nagy</w:t>
              </w:r>
            </w:hyperlink>
            <w:r>
              <w:rPr>
                <w:rFonts w:eastAsia="Times New Roman" w:cs="Arial" w:ascii="Arial" w:hAnsi="Arial"/>
                <w:sz w:val="22"/>
                <w:lang w:eastAsia="de-DE"/>
              </w:rPr>
              <w:t xml:space="preserve">, </w:t>
            </w:r>
            <w:hyperlink r:id="rId6">
              <w:r>
                <w:rPr>
                  <w:rStyle w:val="Internetverknpfung"/>
                  <w:rFonts w:eastAsia="Times New Roman" w:cs="Arial" w:ascii="Arial" w:hAnsi="Arial"/>
                  <w:sz w:val="22"/>
                  <w:lang w:eastAsia="de-DE"/>
                </w:rPr>
                <w:t>Christian Schad</w:t>
              </w:r>
            </w:hyperlink>
            <w:r>
              <w:rPr>
                <w:rFonts w:eastAsia="Times New Roman" w:cs="Arial" w:ascii="Arial" w:hAnsi="Arial"/>
                <w:sz w:val="22"/>
                <w:lang w:eastAsia="de-DE"/>
              </w:rPr>
              <w:t xml:space="preserve"> (Schadogramme), </w:t>
            </w:r>
            <w:hyperlink r:id="rId7">
              <w:r>
                <w:rPr>
                  <w:rStyle w:val="Internetverknpfung"/>
                  <w:rFonts w:eastAsia="Times New Roman" w:cs="Arial" w:ascii="Arial" w:hAnsi="Arial"/>
                  <w:sz w:val="22"/>
                  <w:lang w:eastAsia="de-DE"/>
                </w:rPr>
                <w:t>Man Ray</w:t>
              </w:r>
            </w:hyperlink>
            <w:r>
              <w:rPr>
                <w:rFonts w:eastAsia="Times New Roman" w:cs="Arial" w:ascii="Arial" w:hAnsi="Arial"/>
                <w:sz w:val="22"/>
                <w:lang w:eastAsia="de-DE"/>
              </w:rPr>
              <w:t xml:space="preserve"> (Rayogramme), </w:t>
            </w:r>
            <w:hyperlink r:id="rId8">
              <w:bookmarkStart w:id="0" w:name="firstHeading"/>
              <w:bookmarkEnd w:id="0"/>
              <w:r>
                <w:rPr>
                  <w:rStyle w:val="Internetverknpfung"/>
                  <w:rFonts w:eastAsia="Times New Roman" w:cs="Arial" w:ascii="Arial" w:hAnsi="Arial"/>
                  <w:sz w:val="22"/>
                  <w:lang w:val="de-DE" w:eastAsia="de-DE"/>
                </w:rPr>
                <w:t>Alvin Langdon Coburn</w:t>
              </w:r>
            </w:hyperlink>
            <w:r>
              <w:rPr>
                <w:rFonts w:eastAsia="Times New Roman" w:cs="Arial" w:ascii="Arial" w:hAnsi="Arial"/>
                <w:sz w:val="22"/>
                <w:lang w:eastAsia="de-DE"/>
              </w:rPr>
              <w:t xml:space="preserve"> (Vortographien) sowie bei Künstlerfotografen, </w:t>
            </w:r>
            <w:hyperlink r:id="rId9">
              <w:r>
                <w:rPr>
                  <w:rStyle w:val="Internetverknpfung"/>
                  <w:rFonts w:eastAsia="Times New Roman" w:cs="Arial" w:ascii="Arial" w:hAnsi="Arial"/>
                  <w:sz w:val="22"/>
                  <w:lang w:eastAsia="de-DE"/>
                </w:rPr>
                <w:t>Dadaisten</w:t>
              </w:r>
            </w:hyperlink>
            <w:r>
              <w:rPr>
                <w:rFonts w:eastAsia="Times New Roman" w:cs="Arial" w:ascii="Arial" w:hAnsi="Arial"/>
                <w:sz w:val="22"/>
                <w:lang w:eastAsia="de-DE"/>
              </w:rPr>
              <w:t xml:space="preserve"> und Surrealisten und bereits Mitte des 19.Jhds. bei der Naturforscherin </w:t>
            </w:r>
            <w:hyperlink r:id="rId10">
              <w:r>
                <w:rPr>
                  <w:rStyle w:val="Internetverknpfung"/>
                  <w:rFonts w:eastAsia="Times New Roman" w:cs="Arial" w:ascii="Arial" w:hAnsi="Arial"/>
                  <w:sz w:val="22"/>
                  <w:lang w:eastAsia="de-DE"/>
                </w:rPr>
                <w:t>Anna Atkins</w:t>
              </w:r>
            </w:hyperlink>
            <w:r>
              <w:rPr>
                <w:rFonts w:eastAsia="Times New Roman" w:cs="Arial" w:ascii="Arial" w:hAnsi="Arial"/>
                <w:sz w:val="22"/>
                <w:lang w:eastAsia="de-DE"/>
              </w:rPr>
              <w:t xml:space="preserve">. Erste Photogramme erstellte der Fotopionier </w:t>
            </w:r>
            <w:hyperlink r:id="rId11">
              <w:r>
                <w:rPr>
                  <w:rStyle w:val="Betont"/>
                  <w:rFonts w:eastAsia="Times New Roman" w:cs="Arial" w:ascii="Arial" w:hAnsi="Arial"/>
                  <w:b w:val="false"/>
                  <w:bCs w:val="false"/>
                  <w:i w:val="false"/>
                  <w:iCs w:val="false"/>
                  <w:sz w:val="22"/>
                  <w:lang w:eastAsia="de-DE"/>
                </w:rPr>
                <w:t>William Henry Fox Talbot</w:t>
              </w:r>
            </w:hyperlink>
            <w:r>
              <w:rPr>
                <w:rStyle w:val="Betont"/>
                <w:rFonts w:eastAsia="Times New Roman" w:cs="Arial" w:ascii="Arial" w:hAnsi="Arial"/>
                <w:b w:val="false"/>
                <w:bCs w:val="false"/>
                <w:i w:val="false"/>
                <w:iCs w:val="false"/>
                <w:sz w:val="22"/>
                <w:lang w:eastAsia="de-DE"/>
              </w:rPr>
              <w:t xml:space="preserve"> ca. 1860 als „Photogenic Drawings“</w:t>
            </w:r>
          </w:p>
        </w:tc>
      </w:tr>
      <w:tr>
        <w:trPr>
          <w:trHeight w:val="698" w:hRule="atLeast"/>
        </w:trPr>
        <w:tc>
          <w:tcPr>
            <w:tcW w:w="19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57" w:after="57"/>
              <w:rPr/>
            </w:pPr>
            <w:r>
              <w:rPr>
                <w:rFonts w:cs="Arial" w:ascii="Arial" w:hAnsi="Arial"/>
                <w:sz w:val="22"/>
              </w:rPr>
              <w:t>Alternativen</w:t>
            </w:r>
          </w:p>
        </w:tc>
        <w:tc>
          <w:tcPr>
            <w:tcW w:w="75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57" w:after="0"/>
              <w:rPr/>
            </w:pPr>
            <w:r>
              <w:rPr>
                <w:rFonts w:cs="Arial" w:ascii="Arial" w:hAnsi="Arial"/>
                <w:sz w:val="22"/>
              </w:rPr>
              <w:t>Falls noch herkömmliche Fotochemie, Fotopapier und Dunkelkammer zur Verfügung steht, können die Photogramme damit hergestellt werden.</w:t>
            </w:r>
          </w:p>
        </w:tc>
      </w:tr>
      <w:tr>
        <w:trPr>
          <w:trHeight w:val="1080" w:hRule="atLeast"/>
        </w:trPr>
        <w:tc>
          <w:tcPr>
            <w:tcW w:w="19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57" w:after="57"/>
              <w:rPr/>
            </w:pPr>
            <w:r>
              <w:rPr>
                <w:rFonts w:cs="Arial" w:ascii="Arial" w:hAnsi="Arial"/>
                <w:sz w:val="22"/>
              </w:rPr>
              <w:t>Weiterführung</w:t>
            </w:r>
          </w:p>
        </w:tc>
        <w:tc>
          <w:tcPr>
            <w:tcW w:w="75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0"/>
              <w:rPr/>
            </w:pPr>
            <w:r>
              <w:rPr>
                <w:rFonts w:cs="Arial" w:ascii="Arial" w:hAnsi="Arial"/>
                <w:sz w:val="22"/>
              </w:rPr>
              <w:t>- Überarbeiten mit Farbstiften oder Acrylfarbe</w:t>
            </w:r>
          </w:p>
          <w:p>
            <w:pPr>
              <w:pStyle w:val="Normal"/>
              <w:spacing w:lineRule="auto" w:line="276" w:before="0" w:after="0"/>
              <w:rPr/>
            </w:pPr>
            <w:r>
              <w:rPr>
                <w:rFonts w:cs="Arial" w:ascii="Arial" w:hAnsi="Arial"/>
                <w:sz w:val="22"/>
              </w:rPr>
              <w:t>- Weißhöhungen oder weiße Linien mit Tintenkiller</w:t>
            </w:r>
          </w:p>
          <w:p>
            <w:pPr>
              <w:pStyle w:val="Normal"/>
              <w:spacing w:lineRule="auto" w:line="276" w:before="0" w:after="0"/>
              <w:rPr/>
            </w:pPr>
            <w:r>
              <w:rPr>
                <w:rFonts w:cs="Arial" w:ascii="Arial" w:hAnsi="Arial"/>
                <w:sz w:val="22"/>
              </w:rPr>
              <w:t>- Belichtung von Spaltschnitten</w:t>
            </w:r>
          </w:p>
          <w:p>
            <w:pPr>
              <w:pStyle w:val="Normal"/>
              <w:spacing w:lineRule="auto" w:line="276" w:before="0" w:after="0"/>
              <w:rPr/>
            </w:pPr>
            <w:r>
              <w:rPr>
                <w:rFonts w:cs="Arial" w:ascii="Arial" w:hAnsi="Arial"/>
                <w:sz w:val="22"/>
              </w:rPr>
              <w:t>- Belichtung von Schrift auf Stoffbahnen</w:t>
            </w:r>
          </w:p>
          <w:p>
            <w:pPr>
              <w:pStyle w:val="Normal"/>
              <w:spacing w:lineRule="auto" w:line="276" w:before="0" w:after="0"/>
              <w:rPr/>
            </w:pPr>
            <w:r>
              <w:rPr>
                <w:rFonts w:cs="Arial" w:ascii="Arial" w:hAnsi="Arial"/>
                <w:sz w:val="22"/>
              </w:rPr>
              <w:t>- Belichten von Folienradierungen</w:t>
            </w:r>
          </w:p>
          <w:p>
            <w:pPr>
              <w:pStyle w:val="Normal"/>
              <w:spacing w:lineRule="auto" w:line="276" w:before="0" w:after="0"/>
              <w:rPr/>
            </w:pPr>
            <w:r>
              <w:rPr>
                <w:rFonts w:cs="Arial" w:ascii="Arial" w:hAnsi="Arial"/>
                <w:sz w:val="22"/>
              </w:rPr>
              <w:t>- Fotocollagen mit Fotokopierer auf Folie kopieren bzw. mit PC in Negativ wandeln, als Folie ausbelichten und dann aufbelichten</w:t>
            </w:r>
          </w:p>
          <w:p>
            <w:pPr>
              <w:pStyle w:val="Normal"/>
              <w:spacing w:lineRule="auto" w:line="276" w:before="0" w:after="0"/>
              <w:rPr/>
            </w:pPr>
            <w:r>
              <w:rPr>
                <w:rFonts w:cs="Arial" w:ascii="Arial" w:hAnsi="Arial"/>
                <w:sz w:val="22"/>
              </w:rPr>
              <w:t>- große Gegenstände (Fahrrad) oder Menschen im Sonnenlicht auf Stoffbahnen aufbelichten</w:t>
            </w:r>
          </w:p>
        </w:tc>
      </w:tr>
    </w:tbl>
    <w:p>
      <w:pPr>
        <w:pStyle w:val="Normal"/>
        <w:rPr/>
      </w:pPr>
      <w:r>
        <w:rPr/>
      </w:r>
    </w:p>
    <w:sectPr>
      <w:headerReference w:type="default" r:id="rId12"/>
      <w:footerReference w:type="default" r:id="rId13"/>
      <w:type w:val="nextPage"/>
      <w:pgSz w:w="11906" w:h="16838"/>
      <w:pgMar w:left="1134" w:right="991" w:header="709" w:top="1134" w:footer="709" w:bottom="76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Times New Roman">
    <w:charset w:val="01"/>
    <w:family w:val="roman"/>
    <w:pitch w:val="variable"/>
  </w:font>
  <w:font w:name="Liberation Serif">
    <w:altName w:val="Times New Roman"/>
    <w:charset w:val="01"/>
    <w:family w:val="swiss"/>
    <w:pitch w:val="variable"/>
  </w:font>
  <w:font w:name="Tox Typewriter">
    <w:charset w:val="01"/>
    <w:family w:val="roman"/>
    <w:pitch w:val="variable"/>
  </w:font>
  <w:font w:name="Liberation Sans">
    <w:altName w:val="Arial"/>
    <w:charset w:val="01"/>
    <w:family w:val="roman"/>
    <w:pitch w:val="variable"/>
  </w:font>
  <w:font w:name="Wingdings">
    <w:charset w:val="02"/>
    <w:family w:val="auto"/>
    <w:pitch w:val="default"/>
  </w:font>
  <w:font w:name="Courier New">
    <w:charset w:val="01"/>
    <w:family w:val="auto"/>
    <w:pitch w:val="fixed"/>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ind w:right="360" w:hanging="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tabs>
        <w:tab w:val="center" w:pos="4536" w:leader="none"/>
        <w:tab w:val="left" w:pos="6810" w:leader="none"/>
        <w:tab w:val="right" w:pos="9072" w:leader="none"/>
      </w:tabs>
      <w:rPr>
        <w:b/>
        <w:b/>
        <w:bCs/>
        <w:u w:val="none"/>
      </w:rPr>
    </w:pPr>
    <w:r>
      <w:rPr>
        <w:rFonts w:cs="Arial" w:ascii="Arial" w:hAnsi="Arial"/>
        <w:b/>
        <w:bCs/>
        <w:sz w:val="20"/>
        <w:szCs w:val="20"/>
        <w:u w:val="none"/>
      </w:rPr>
      <w:t>100 Jahre Bauhaus – Form und Funktion</w:t>
      <w:tab/>
      <w:tab/>
      <w:t>Schulkunstausstellung 2019</w:t>
    </w:r>
  </w:p>
  <w:p>
    <w:pPr>
      <w:pStyle w:val="Kopfzeile"/>
      <w:rPr/>
    </w:pPr>
    <w:r>
      <w:rPr>
        <w:rFonts w:cs="Arial" w:ascii="Arial" w:hAnsi="Arial"/>
        <w:sz w:val="20"/>
        <w:szCs w:val="20"/>
        <w:u w:val="none"/>
      </w:rPr>
      <w:t>Wolfgang Autenrieth, GWRS Meßkirch: Photogramme / Cyanotypie</w:t>
    </w:r>
    <w:r>
      <w:rPr>
        <w:rFonts w:cs="Arial" w:ascii="Arial" w:hAnsi="Arial"/>
        <w:sz w:val="20"/>
        <w:szCs w:val="20"/>
        <w:u w:val="none"/>
      </w:rPr>
      <w:t>n</w:t>
    </w:r>
    <w:r>
      <w:rPr>
        <w:rFonts w:cs="Arial" w:ascii="Arial" w:hAnsi="Arial"/>
        <w:sz w:val="20"/>
        <w:szCs w:val="20"/>
        <w:u w:val="none"/>
      </w:rPr>
      <w:t xml:space="preserve"> nach Moholy-Nagy, Seite </w:t>
    </w:r>
    <w:r>
      <w:rPr>
        <w:rFonts w:cs="Arial" w:ascii="Arial" w:hAnsi="Arial"/>
        <w:sz w:val="20"/>
        <w:szCs w:val="20"/>
        <w:u w:val="none"/>
      </w:rPr>
      <w:fldChar w:fldCharType="begin"/>
    </w:r>
    <w:r>
      <w:rPr>
        <w:sz w:val="20"/>
        <w:u w:val="none"/>
        <w:szCs w:val="20"/>
        <w:rFonts w:cs="Arial" w:ascii="Arial" w:hAnsi="Arial"/>
      </w:rPr>
      <w:instrText> PAGE </w:instrText>
    </w:r>
    <w:r>
      <w:rPr>
        <w:sz w:val="20"/>
        <w:u w:val="none"/>
        <w:szCs w:val="20"/>
        <w:rFonts w:cs="Arial" w:ascii="Arial" w:hAnsi="Arial"/>
      </w:rPr>
      <w:fldChar w:fldCharType="separate"/>
    </w:r>
    <w:r>
      <w:rPr>
        <w:sz w:val="20"/>
        <w:u w:val="none"/>
        <w:szCs w:val="20"/>
        <w:rFonts w:cs="Arial" w:ascii="Arial" w:hAnsi="Arial"/>
      </w:rPr>
      <w:t>2</w:t>
    </w:r>
    <w:r>
      <w:rPr>
        <w:sz w:val="20"/>
        <w:u w:val="none"/>
        <w:szCs w:val="20"/>
        <w:rFonts w:cs="Arial" w:ascii="Arial" w:hAnsi="Arial"/>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720" w:hanging="360"/>
      </w:pPr>
      <w:rPr>
        <w:rFonts w:ascii="Wingdings" w:hAnsi="Wingdings" w:cs="Wingdings" w:hint="default"/>
        <w:sz w:val="22"/>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Calibri" w:cs="Times New Roman" w:eastAsiaTheme="minorHAnsi"/>
        <w:szCs w:val="24"/>
        <w:lang w:val="de-DE"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3b2720"/>
    <w:pPr>
      <w:widowControl/>
      <w:bidi w:val="0"/>
      <w:spacing w:lineRule="auto" w:line="240" w:before="0" w:after="0"/>
      <w:jc w:val="left"/>
    </w:pPr>
    <w:rPr>
      <w:rFonts w:ascii="Times New Roman" w:hAnsi="Times New Roman" w:eastAsia="Times New Roman" w:cs="Times New Roman"/>
      <w:color w:val="auto"/>
      <w:kern w:val="0"/>
      <w:sz w:val="24"/>
      <w:szCs w:val="24"/>
      <w:lang w:val="de-DE" w:eastAsia="de-DE" w:bidi="ar-SA"/>
    </w:rPr>
  </w:style>
  <w:style w:type="paragraph" w:styleId="Berschrift1">
    <w:name w:val="Heading 1"/>
    <w:basedOn w:val="Berschrift"/>
    <w:qFormat/>
    <w:pPr>
      <w:numPr>
        <w:ilvl w:val="0"/>
        <w:numId w:val="1"/>
      </w:numPr>
      <w:spacing w:before="240" w:after="120"/>
      <w:outlineLvl w:val="0"/>
    </w:pPr>
    <w:rPr>
      <w:rFonts w:ascii="Liberation Serif" w:hAnsi="Liberation Serif" w:eastAsia="DejaVu Sans" w:cs="DejaVu Sans"/>
      <w:b/>
      <w:bCs/>
      <w:sz w:val="48"/>
      <w:szCs w:val="48"/>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qFormat/>
    <w:rsid w:val="003b2720"/>
    <w:rPr>
      <w:rFonts w:ascii="Times New Roman" w:hAnsi="Times New Roman" w:eastAsia="Times New Roman"/>
      <w:sz w:val="24"/>
      <w:lang w:eastAsia="de-DE"/>
    </w:rPr>
  </w:style>
  <w:style w:type="character" w:styleId="FuzeileZchn" w:customStyle="1">
    <w:name w:val="Fußzeile Zchn"/>
    <w:basedOn w:val="DefaultParagraphFont"/>
    <w:link w:val="Fuzeile"/>
    <w:qFormat/>
    <w:rsid w:val="003b2720"/>
    <w:rPr>
      <w:rFonts w:ascii="Times New Roman" w:hAnsi="Times New Roman" w:eastAsia="Times New Roman"/>
      <w:sz w:val="24"/>
      <w:lang w:eastAsia="de-DE"/>
    </w:rPr>
  </w:style>
  <w:style w:type="character" w:styleId="Pagenumber">
    <w:name w:val="page number"/>
    <w:basedOn w:val="DefaultParagraphFont"/>
    <w:qFormat/>
    <w:rsid w:val="003b2720"/>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ascii="Tox Typewriter" w:hAnsi="Tox Typewriter"/>
      <w:bCs/>
      <w:color w:val="FFFFFF" w:themeColor="background1"/>
      <w:sz w:val="44"/>
      <w:szCs w:val="18"/>
    </w:rPr>
  </w:style>
  <w:style w:type="character" w:styleId="Internetverknpfung">
    <w:name w:val="Internetverknüpfung"/>
    <w:rPr>
      <w:color w:val="000080"/>
      <w:u w:val="single"/>
      <w:lang w:val="zxx" w:eastAsia="zxx" w:bidi="zxx"/>
    </w:rPr>
  </w:style>
  <w:style w:type="character" w:styleId="Betont">
    <w:name w:val="Betont"/>
    <w:qFormat/>
    <w:rPr>
      <w:i/>
      <w:iCs/>
    </w:rPr>
  </w:style>
  <w:style w:type="character" w:styleId="BesuchteInternetverknpfung">
    <w:name w:val="Besuchte Internetverknüpfung"/>
    <w:rPr>
      <w:color w:val="800000"/>
      <w:u w:val="single"/>
      <w:lang w:val="zxx" w:eastAsia="zxx" w:bidi="zxx"/>
    </w:rPr>
  </w:style>
  <w:style w:type="character" w:styleId="ListLabel14">
    <w:name w:val="ListLabel 14"/>
    <w:qFormat/>
    <w:rPr>
      <w:rFonts w:ascii="Arial" w:hAnsi="Arial" w:cs="Wingdings"/>
      <w:sz w:val="22"/>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cs="Symbol"/>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cs="Symbol"/>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cs="Wingdings"/>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ascii="Arial" w:hAnsi="Arial" w:eastAsia="Times New Roman" w:cs="Arial"/>
      <w:sz w:val="22"/>
      <w:lang w:eastAsia="de-DE"/>
    </w:rPr>
  </w:style>
  <w:style w:type="character" w:styleId="ListLabel33">
    <w:name w:val="ListLabel 33"/>
    <w:qFormat/>
    <w:rPr>
      <w:rFonts w:ascii="Arial" w:hAnsi="Arial" w:eastAsia="Times New Roman" w:cs="Arial"/>
      <w:sz w:val="22"/>
      <w:lang w:eastAsia="de-DE"/>
    </w:rPr>
  </w:style>
  <w:style w:type="character" w:styleId="ListLabel34">
    <w:name w:val="ListLabel 34"/>
    <w:qFormat/>
    <w:rPr>
      <w:rFonts w:ascii="Arial" w:hAnsi="Arial" w:eastAsia="Times New Roman" w:cs="Arial"/>
      <w:sz w:val="22"/>
      <w:lang w:val="de-DE" w:eastAsia="de-DE"/>
    </w:rPr>
  </w:style>
  <w:style w:type="character" w:styleId="ListLabel35">
    <w:name w:val="ListLabel 35"/>
    <w:qFormat/>
    <w:rPr>
      <w:rFonts w:ascii="Arial" w:hAnsi="Arial" w:eastAsia="Times New Roman" w:cs="Arial"/>
      <w:b w:val="false"/>
      <w:bCs w:val="false"/>
      <w:i w:val="false"/>
      <w:iCs w:val="false"/>
      <w:sz w:val="22"/>
      <w:lang w:eastAsia="de-DE"/>
    </w:rPr>
  </w:style>
  <w:style w:type="character" w:styleId="ListLabel36">
    <w:name w:val="ListLabel 36"/>
    <w:qFormat/>
    <w:rPr>
      <w:rFonts w:ascii="Arial" w:hAnsi="Arial" w:cs="Wingdings"/>
      <w:sz w:val="22"/>
    </w:rPr>
  </w:style>
  <w:style w:type="character" w:styleId="ListLabel37">
    <w:name w:val="ListLabel 37"/>
    <w:qFormat/>
    <w:rPr>
      <w:rFonts w:cs="Courier New"/>
    </w:rPr>
  </w:style>
  <w:style w:type="character" w:styleId="ListLabel38">
    <w:name w:val="ListLabel 38"/>
    <w:qFormat/>
    <w:rPr>
      <w:rFonts w:cs="Wingdings"/>
    </w:rPr>
  </w:style>
  <w:style w:type="character" w:styleId="ListLabel39">
    <w:name w:val="ListLabel 39"/>
    <w:qFormat/>
    <w:rPr>
      <w:rFonts w:cs="Symbol"/>
    </w:rPr>
  </w:style>
  <w:style w:type="character" w:styleId="ListLabel40">
    <w:name w:val="ListLabel 40"/>
    <w:qFormat/>
    <w:rPr>
      <w:rFonts w:cs="Courier New"/>
    </w:rPr>
  </w:style>
  <w:style w:type="character" w:styleId="ListLabel41">
    <w:name w:val="ListLabel 41"/>
    <w:qFormat/>
    <w:rPr>
      <w:rFonts w:cs="Wingdings"/>
    </w:rPr>
  </w:style>
  <w:style w:type="character" w:styleId="ListLabel42">
    <w:name w:val="ListLabel 42"/>
    <w:qFormat/>
    <w:rPr>
      <w:rFonts w:cs="Symbol"/>
    </w:rPr>
  </w:style>
  <w:style w:type="character" w:styleId="ListLabel43">
    <w:name w:val="ListLabel 43"/>
    <w:qFormat/>
    <w:rPr>
      <w:rFonts w:cs="Courier New"/>
    </w:rPr>
  </w:style>
  <w:style w:type="character" w:styleId="ListLabel44">
    <w:name w:val="ListLabel 44"/>
    <w:qFormat/>
    <w:rPr>
      <w:rFonts w:cs="Wingdings"/>
    </w:rPr>
  </w:style>
  <w:style w:type="character" w:styleId="ListLabel45">
    <w:name w:val="ListLabel 45"/>
    <w:qFormat/>
    <w:rPr>
      <w:rFonts w:ascii="Arial" w:hAnsi="Arial" w:eastAsia="Times New Roman" w:cs="Arial"/>
      <w:sz w:val="22"/>
      <w:lang w:eastAsia="de-DE"/>
    </w:rPr>
  </w:style>
  <w:style w:type="character" w:styleId="ListLabel46">
    <w:name w:val="ListLabel 46"/>
    <w:qFormat/>
    <w:rPr>
      <w:rFonts w:ascii="Arial" w:hAnsi="Arial" w:eastAsia="Times New Roman" w:cs="Arial"/>
      <w:sz w:val="22"/>
      <w:lang w:eastAsia="de-DE"/>
    </w:rPr>
  </w:style>
  <w:style w:type="character" w:styleId="ListLabel47">
    <w:name w:val="ListLabel 47"/>
    <w:qFormat/>
    <w:rPr>
      <w:rFonts w:ascii="Arial" w:hAnsi="Arial" w:eastAsia="Times New Roman" w:cs="Arial"/>
      <w:sz w:val="22"/>
      <w:lang w:val="de-DE" w:eastAsia="de-DE"/>
    </w:rPr>
  </w:style>
  <w:style w:type="character" w:styleId="ListLabel48">
    <w:name w:val="ListLabel 48"/>
    <w:qFormat/>
    <w:rPr>
      <w:rFonts w:ascii="Arial" w:hAnsi="Arial" w:eastAsia="Times New Roman" w:cs="Arial"/>
      <w:b w:val="false"/>
      <w:bCs w:val="false"/>
      <w:i w:val="false"/>
      <w:iCs w:val="false"/>
      <w:sz w:val="22"/>
      <w:lang w:eastAsia="de-DE"/>
    </w:rPr>
  </w:style>
  <w:style w:type="paragraph" w:styleId="Berschrift">
    <w:name w:val="Überschrift"/>
    <w:basedOn w:val="Normal"/>
    <w:next w:val="Textkrper"/>
    <w:qFormat/>
    <w:pPr>
      <w:keepNext w:val="true"/>
      <w:spacing w:before="240" w:after="120"/>
    </w:pPr>
    <w:rPr>
      <w:rFonts w:ascii="Liberation Sans" w:hAnsi="Liberation Sans" w:eastAsia="Noto Sans CJK SC Regular" w:cs="Lohit Devanagari"/>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paragraph" w:styleId="Kopfzeile">
    <w:name w:val="Header"/>
    <w:basedOn w:val="Normal"/>
    <w:link w:val="KopfzeileZchn"/>
    <w:rsid w:val="003b2720"/>
    <w:pPr>
      <w:tabs>
        <w:tab w:val="center" w:pos="4536" w:leader="none"/>
        <w:tab w:val="right" w:pos="9072" w:leader="none"/>
      </w:tabs>
    </w:pPr>
    <w:rPr/>
  </w:style>
  <w:style w:type="paragraph" w:styleId="Fuzeile">
    <w:name w:val="Footer"/>
    <w:basedOn w:val="Normal"/>
    <w:link w:val="FuzeileZchn"/>
    <w:rsid w:val="003b2720"/>
    <w:pPr>
      <w:tabs>
        <w:tab w:val="center" w:pos="4536" w:leader="none"/>
        <w:tab w:val="right" w:pos="9072" w:leader="none"/>
      </w:tabs>
    </w:pPr>
    <w:rPr/>
  </w:style>
  <w:style w:type="paragraph" w:styleId="NoSpacing">
    <w:name w:val="No Spacing"/>
    <w:uiPriority w:val="1"/>
    <w:qFormat/>
    <w:rsid w:val="003b2720"/>
    <w:pPr>
      <w:widowControl/>
      <w:bidi w:val="0"/>
      <w:spacing w:lineRule="auto" w:line="240" w:before="0" w:after="0"/>
      <w:jc w:val="left"/>
    </w:pPr>
    <w:rPr>
      <w:rFonts w:ascii="Arial" w:hAnsi="Arial" w:eastAsia="Calibri" w:cs="Arial" w:eastAsiaTheme="minorHAnsi"/>
      <w:color w:val="auto"/>
      <w:kern w:val="0"/>
      <w:sz w:val="24"/>
      <w:szCs w:val="22"/>
      <w:lang w:val="de-DE" w:eastAsia="en-US" w:bidi="ar-SA"/>
    </w:rPr>
  </w:style>
  <w:style w:type="paragraph" w:styleId="ListParagraph">
    <w:name w:val="List Paragraph"/>
    <w:basedOn w:val="Normal"/>
    <w:uiPriority w:val="34"/>
    <w:qFormat/>
    <w:rsid w:val="003b2720"/>
    <w:pPr>
      <w:spacing w:before="0" w:after="0"/>
      <w:ind w:left="720" w:hanging="0"/>
      <w:contextualSpacing/>
    </w:pPr>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styleId="Tabellenraster">
    <w:name w:val="Table Grid"/>
    <w:basedOn w:val="NormaleTabelle"/>
    <w:uiPriority w:val="39"/>
    <w:rsid w:val="003b272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p.radiertechniken.de/cyanotypie" TargetMode="External"/><Relationship Id="rId3" Type="http://schemas.openxmlformats.org/officeDocument/2006/relationships/hyperlink" Target="https://www.alternativephotography.com/a-good-starting-point-for-cyanotypes-learn-the-process/" TargetMode="External"/><Relationship Id="rId4" Type="http://schemas.openxmlformats.org/officeDocument/2006/relationships/hyperlink" Target="https://de.wikipedia.org/wiki/Fotogramm" TargetMode="External"/><Relationship Id="rId5" Type="http://schemas.openxmlformats.org/officeDocument/2006/relationships/hyperlink" Target="http://de.wikipedia.org/wiki/L&#225;szl&#243;_Moholy-Nagy" TargetMode="External"/><Relationship Id="rId6" Type="http://schemas.openxmlformats.org/officeDocument/2006/relationships/hyperlink" Target="http://de.wikipedia.org/wiki/Christian_Schad" TargetMode="External"/><Relationship Id="rId7" Type="http://schemas.openxmlformats.org/officeDocument/2006/relationships/hyperlink" Target="https://de.wikipedia.org/wiki/Man_Ray" TargetMode="External"/><Relationship Id="rId8" Type="http://schemas.openxmlformats.org/officeDocument/2006/relationships/hyperlink" Target="https://de.wikipedia.org/wiki/Alvin_Langdon_Coburn" TargetMode="External"/><Relationship Id="rId9" Type="http://schemas.openxmlformats.org/officeDocument/2006/relationships/hyperlink" Target="http://de.wikipedia.org/wiki/Dadaismus" TargetMode="External"/><Relationship Id="rId10" Type="http://schemas.openxmlformats.org/officeDocument/2006/relationships/hyperlink" Target="http://de.wikipedia.org/wiki/Anna_Atkins" TargetMode="External"/><Relationship Id="rId11" Type="http://schemas.openxmlformats.org/officeDocument/2006/relationships/hyperlink" Target="https://de.wikipedia.org/wiki/William_Henry_Fox_Talbot"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Application>LibreOffice/6.0.6.2$Linux_x86 LibreOffice_project/00m0$Build-2</Application>
  <Pages>2</Pages>
  <Words>625</Words>
  <Characters>4404</Characters>
  <CharactersWithSpaces>4979</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2018-11-04T18:02:00Z</dcterms:created>
  <dc:creator>Susanne Baur</dc:creator>
  <dc:description/>
  <dc:language>de-DE</dc:language>
  <cp:lastModifiedBy/>
  <cp:lastPrinted>2018-11-13T19:35:00Z</cp:lastPrinted>
  <dcterms:modified xsi:type="dcterms:W3CDTF">2018-11-13T19:35:57Z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